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2079C65F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5A46EC">
        <w:rPr>
          <w:b/>
          <w:szCs w:val="22"/>
        </w:rPr>
        <w:t>4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3F6620">
        <w:rPr>
          <w:b/>
          <w:szCs w:val="22"/>
        </w:rPr>
        <w:t>oprava asfaltu</w:t>
      </w:r>
      <w:r w:rsidR="005A46EC">
        <w:rPr>
          <w:b/>
          <w:szCs w:val="22"/>
        </w:rPr>
        <w:t xml:space="preserve"> </w:t>
      </w:r>
      <w:proofErr w:type="spellStart"/>
      <w:r w:rsidR="005A46EC">
        <w:rPr>
          <w:b/>
          <w:szCs w:val="22"/>
        </w:rPr>
        <w:t>patchmatic</w:t>
      </w:r>
      <w:proofErr w:type="spellEnd"/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231401E9" w14:textId="77777777" w:rsidR="002E7706" w:rsidRP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1971"/>
        <w:gridCol w:w="6431"/>
      </w:tblGrid>
      <w:tr w:rsidR="002E7706" w:rsidRPr="002E7706" w14:paraId="28BBDFDC" w14:textId="77777777" w:rsidTr="00C15B2F">
        <w:tc>
          <w:tcPr>
            <w:tcW w:w="534" w:type="dxa"/>
            <w:shd w:val="clear" w:color="auto" w:fill="auto"/>
          </w:tcPr>
          <w:p w14:paraId="5199FEC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1.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1BD07F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b/>
                <w:bCs/>
                <w:szCs w:val="22"/>
                <w:highlight w:val="yellow"/>
              </w:rPr>
              <w:t>…………………………………………………..</w:t>
            </w:r>
          </w:p>
        </w:tc>
      </w:tr>
      <w:tr w:rsidR="002E7706" w:rsidRPr="002E7706" w14:paraId="79F985D7" w14:textId="77777777" w:rsidTr="00C15B2F">
        <w:tc>
          <w:tcPr>
            <w:tcW w:w="534" w:type="dxa"/>
            <w:shd w:val="clear" w:color="auto" w:fill="auto"/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3D05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</w:p>
        </w:tc>
        <w:tc>
          <w:tcPr>
            <w:tcW w:w="6551" w:type="dxa"/>
            <w:shd w:val="clear" w:color="auto" w:fill="auto"/>
          </w:tcPr>
          <w:p w14:paraId="66F9031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30AF0A9D" w14:textId="77777777" w:rsidTr="00C15B2F">
        <w:tc>
          <w:tcPr>
            <w:tcW w:w="534" w:type="dxa"/>
            <w:shd w:val="clear" w:color="auto" w:fill="auto"/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52D7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</w:p>
        </w:tc>
        <w:tc>
          <w:tcPr>
            <w:tcW w:w="6551" w:type="dxa"/>
            <w:shd w:val="clear" w:color="auto" w:fill="auto"/>
          </w:tcPr>
          <w:p w14:paraId="59125E0D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2C6E53B6" w14:textId="77777777" w:rsidTr="00C15B2F">
        <w:tc>
          <w:tcPr>
            <w:tcW w:w="534" w:type="dxa"/>
            <w:shd w:val="clear" w:color="auto" w:fill="auto"/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0016D7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</w:p>
        </w:tc>
        <w:tc>
          <w:tcPr>
            <w:tcW w:w="6551" w:type="dxa"/>
            <w:shd w:val="clear" w:color="auto" w:fill="auto"/>
          </w:tcPr>
          <w:p w14:paraId="46790980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7946F616" w14:textId="77777777" w:rsidTr="00C15B2F">
        <w:tc>
          <w:tcPr>
            <w:tcW w:w="534" w:type="dxa"/>
            <w:shd w:val="clear" w:color="auto" w:fill="auto"/>
          </w:tcPr>
          <w:p w14:paraId="1F8E294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D2A9E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bankovní spojení</w:t>
            </w:r>
          </w:p>
        </w:tc>
        <w:tc>
          <w:tcPr>
            <w:tcW w:w="6551" w:type="dxa"/>
            <w:shd w:val="clear" w:color="auto" w:fill="auto"/>
          </w:tcPr>
          <w:p w14:paraId="4BCC578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620886D8" w14:textId="77777777" w:rsidTr="00C15B2F">
        <w:tc>
          <w:tcPr>
            <w:tcW w:w="534" w:type="dxa"/>
            <w:shd w:val="clear" w:color="auto" w:fill="auto"/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551" w:type="dxa"/>
            <w:shd w:val="clear" w:color="auto" w:fill="auto"/>
          </w:tcPr>
          <w:p w14:paraId="0F91A8E1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05B68C47" w14:textId="77777777" w:rsidTr="00C15B2F">
        <w:tc>
          <w:tcPr>
            <w:tcW w:w="534" w:type="dxa"/>
            <w:shd w:val="clear" w:color="auto" w:fill="auto"/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551" w:type="dxa"/>
            <w:shd w:val="clear" w:color="auto" w:fill="auto"/>
          </w:tcPr>
          <w:p w14:paraId="6400973B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Pr="002E7706">
              <w:rPr>
                <w:szCs w:val="22"/>
                <w:highlight w:val="yellow"/>
              </w:rPr>
              <w:t>....................</w:t>
            </w:r>
            <w:r w:rsidRPr="002E7706">
              <w:rPr>
                <w:szCs w:val="22"/>
              </w:rPr>
              <w:t xml:space="preserve"> soudem v </w:t>
            </w:r>
            <w:r w:rsidRPr="002E7706">
              <w:rPr>
                <w:szCs w:val="22"/>
                <w:highlight w:val="yellow"/>
              </w:rPr>
              <w:t>.......................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>. …</w:t>
            </w:r>
          </w:p>
        </w:tc>
      </w:tr>
      <w:tr w:rsidR="002E7706" w:rsidRPr="002E7706" w14:paraId="788CFDD8" w14:textId="77777777" w:rsidTr="00C15B2F">
        <w:tc>
          <w:tcPr>
            <w:tcW w:w="534" w:type="dxa"/>
            <w:shd w:val="clear" w:color="auto" w:fill="auto"/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551" w:type="dxa"/>
            <w:shd w:val="clear" w:color="auto" w:fill="auto"/>
          </w:tcPr>
          <w:p w14:paraId="7606A8F7" w14:textId="1C9ADE1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  <w:highlight w:val="yellow"/>
              </w:rPr>
              <w:t>…………………</w:t>
            </w:r>
            <w:proofErr w:type="gramStart"/>
            <w:r w:rsidRPr="002E7706">
              <w:rPr>
                <w:szCs w:val="22"/>
                <w:highlight w:val="yellow"/>
              </w:rPr>
              <w:t>…….</w:t>
            </w:r>
            <w:proofErr w:type="gramEnd"/>
            <w:r w:rsidRPr="002E7706">
              <w:rPr>
                <w:szCs w:val="22"/>
                <w:highlight w:val="yellow"/>
              </w:rPr>
              <w:t>.,</w:t>
            </w:r>
            <w:r w:rsidRPr="002E7706">
              <w:rPr>
                <w:szCs w:val="22"/>
              </w:rPr>
              <w:t xml:space="preserve"> tel. </w:t>
            </w:r>
            <w:r w:rsidRPr="002E7706">
              <w:rPr>
                <w:szCs w:val="22"/>
                <w:highlight w:val="yellow"/>
              </w:rPr>
              <w:t>……………………</w:t>
            </w:r>
          </w:p>
        </w:tc>
      </w:tr>
      <w:tr w:rsidR="002E7706" w:rsidRPr="002E7706" w14:paraId="3C1CC68B" w14:textId="77777777" w:rsidTr="00C15B2F">
        <w:tc>
          <w:tcPr>
            <w:tcW w:w="534" w:type="dxa"/>
            <w:shd w:val="clear" w:color="auto" w:fill="auto"/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551" w:type="dxa"/>
            <w:shd w:val="clear" w:color="auto" w:fill="auto"/>
          </w:tcPr>
          <w:p w14:paraId="6E7C92E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 w:rsidRPr="002E7706">
              <w:rPr>
                <w:szCs w:val="22"/>
                <w:highlight w:val="yellow"/>
              </w:rPr>
              <w:t>………………………..</w:t>
            </w:r>
          </w:p>
        </w:tc>
      </w:tr>
    </w:tbl>
    <w:p w14:paraId="36F98A81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>identifikační a kontaktní údaje doplní účastník</w:t>
      </w:r>
      <w:r w:rsidRPr="002E7706">
        <w:rPr>
          <w:szCs w:val="22"/>
          <w:highlight w:val="yellow"/>
        </w:rPr>
        <w:t>]</w:t>
      </w:r>
    </w:p>
    <w:p w14:paraId="66D48EA9" w14:textId="03DA685F" w:rsidR="002225FB" w:rsidRPr="002E7706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>
        <w:rPr>
          <w:szCs w:val="22"/>
        </w:rPr>
        <w:t>2.</w:t>
      </w: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lastRenderedPageBreak/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P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2D696D0E" w14:textId="77777777" w:rsidR="002225FB" w:rsidRP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3D1FE906" w14:textId="13038934" w:rsidR="002E7706" w:rsidRPr="002E7706" w:rsidRDefault="002E7706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Rámcová dohoda bude uzavřena s nejvýše </w:t>
      </w:r>
      <w:r w:rsidR="00B42ABE">
        <w:rPr>
          <w:bCs/>
          <w:i/>
          <w:color w:val="000000" w:themeColor="text1"/>
          <w:szCs w:val="22"/>
          <w:highlight w:val="yellow"/>
        </w:rPr>
        <w:t>pěti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 zhotoviteli, </w:t>
      </w:r>
      <w:r>
        <w:rPr>
          <w:bCs/>
          <w:i/>
          <w:color w:val="000000" w:themeColor="text1"/>
          <w:szCs w:val="22"/>
          <w:highlight w:val="yellow"/>
        </w:rPr>
        <w:t xml:space="preserve">není-li v zadávacích podmínkách stanoveno jinak, </w:t>
      </w:r>
      <w:r w:rsidRPr="002E7706">
        <w:rPr>
          <w:bCs/>
          <w:i/>
          <w:color w:val="000000" w:themeColor="text1"/>
          <w:szCs w:val="22"/>
          <w:highlight w:val="yellow"/>
        </w:rPr>
        <w:t>identifikační údaje všech zhotovitelů budou doplněny zadavatelem před uzavřením rámcové dohody, a to pod pořadovým č. shodným s pořadím umístění Zhotovitele v zadávacím řízení</w:t>
      </w:r>
      <w:r w:rsidRPr="002E7706">
        <w:rPr>
          <w:szCs w:val="22"/>
          <w:highlight w:val="yellow"/>
        </w:rPr>
        <w:t>]</w:t>
      </w:r>
    </w:p>
    <w:p w14:paraId="0C3B5117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2679673A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 xml:space="preserve">sti </w:t>
      </w:r>
      <w:r w:rsidR="005A46EC">
        <w:rPr>
          <w:szCs w:val="22"/>
        </w:rPr>
        <w:t>4</w:t>
      </w:r>
      <w:r w:rsidR="00725B26">
        <w:rPr>
          <w:szCs w:val="22"/>
        </w:rPr>
        <w:t xml:space="preserve"> </w:t>
      </w:r>
      <w:r w:rsidR="003F6620">
        <w:rPr>
          <w:szCs w:val="22"/>
        </w:rPr>
        <w:t>–</w:t>
      </w:r>
      <w:r w:rsidR="00725B26" w:rsidRPr="00725B26">
        <w:rPr>
          <w:szCs w:val="22"/>
        </w:rPr>
        <w:t xml:space="preserve"> </w:t>
      </w:r>
      <w:r w:rsidR="003F6620">
        <w:rPr>
          <w:szCs w:val="22"/>
        </w:rPr>
        <w:t>oprava asfaltu</w:t>
      </w:r>
      <w:r w:rsidR="00725B26" w:rsidRPr="00744AB4">
        <w:rPr>
          <w:szCs w:val="22"/>
        </w:rPr>
        <w:t xml:space="preserve"> </w:t>
      </w:r>
      <w:proofErr w:type="spellStart"/>
      <w:r w:rsidR="005A46EC">
        <w:rPr>
          <w:szCs w:val="22"/>
        </w:rPr>
        <w:t>patchmatic</w:t>
      </w:r>
      <w:proofErr w:type="spellEnd"/>
      <w:r w:rsidR="005A46EC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lastRenderedPageBreak/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</w:t>
      </w:r>
      <w:r w:rsidRPr="00744AB4">
        <w:rPr>
          <w:szCs w:val="22"/>
        </w:rPr>
        <w:lastRenderedPageBreak/>
        <w:t xml:space="preserve">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lastRenderedPageBreak/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</w:t>
      </w:r>
      <w:r w:rsidR="00C61236">
        <w:rPr>
          <w:szCs w:val="22"/>
        </w:rPr>
        <w:lastRenderedPageBreak/>
        <w:t>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05E15AE7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44AB4" w14:paraId="1572F589" w14:textId="77777777" w:rsidTr="00F00B34">
        <w:trPr>
          <w:jc w:val="center"/>
        </w:trPr>
        <w:tc>
          <w:tcPr>
            <w:tcW w:w="4787" w:type="dxa"/>
            <w:shd w:val="clear" w:color="auto" w:fill="auto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44AB4" w14:paraId="533108D6" w14:textId="77777777" w:rsidTr="00084A32">
              <w:tc>
                <w:tcPr>
                  <w:tcW w:w="4361" w:type="dxa"/>
                </w:tcPr>
                <w:p w14:paraId="03F9C49C" w14:textId="6EDF2FE3" w:rsidR="007303BC" w:rsidRPr="00744AB4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744AB4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14:paraId="13C3A22B" w14:textId="77777777" w:rsidR="007303BC" w:rsidRPr="00744AB4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44AB4" w14:paraId="0DB89583" w14:textId="77777777" w:rsidTr="00084A32">
              <w:tc>
                <w:tcPr>
                  <w:tcW w:w="4361" w:type="dxa"/>
                </w:tcPr>
                <w:p w14:paraId="1B2CE2F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744AB4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F291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BCEB9C3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4B93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45B579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2F3C8B7C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0BFD409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5007231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CD99BB8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337B97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lastRenderedPageBreak/>
                    <w:t>…………………………………..</w:t>
                  </w:r>
                </w:p>
                <w:p w14:paraId="0BD1BE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4</w:t>
                  </w:r>
                </w:p>
                <w:p w14:paraId="0877B39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14:paraId="73304EED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1F50D0D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A679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25CE7C7" w14:textId="5C114476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5</w:t>
                  </w:r>
                </w:p>
                <w:p w14:paraId="1D7C4819" w14:textId="4748BB91" w:rsidR="003A52BE" w:rsidRPr="00744AB4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C509187" w14:textId="49EBB871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0F9D11" w14:textId="77777777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134B2B4" w14:textId="77777777" w:rsidR="007303BC" w:rsidRPr="00744AB4" w:rsidRDefault="007303BC" w:rsidP="006B1CD3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744AB4" w:rsidRDefault="00744AB4" w:rsidP="006B1CD3">
            <w:pPr>
              <w:spacing w:after="120"/>
              <w:jc w:val="center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lastRenderedPageBreak/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AD67156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14:paraId="7FC6B240" w14:textId="77777777" w:rsidR="00755DA7" w:rsidRPr="00744AB4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04B1426E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1F4E2F22" w14:textId="77777777" w:rsidR="007303BC" w:rsidRPr="00744AB4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Default="00DE5EFC" w:rsidP="006B1CD3">
      <w:pPr>
        <w:spacing w:after="120"/>
        <w:rPr>
          <w:snapToGrid w:val="0"/>
          <w:szCs w:val="22"/>
        </w:rPr>
      </w:pPr>
    </w:p>
    <w:sectPr w:rsidR="00DE5EFC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6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1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8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5"/>
  </w:num>
  <w:num w:numId="2" w16cid:durableId="42754503">
    <w:abstractNumId w:val="6"/>
  </w:num>
  <w:num w:numId="3" w16cid:durableId="929895625">
    <w:abstractNumId w:val="34"/>
  </w:num>
  <w:num w:numId="4" w16cid:durableId="160898595">
    <w:abstractNumId w:val="22"/>
  </w:num>
  <w:num w:numId="5" w16cid:durableId="2104839436">
    <w:abstractNumId w:val="19"/>
  </w:num>
  <w:num w:numId="6" w16cid:durableId="1630430943">
    <w:abstractNumId w:val="30"/>
  </w:num>
  <w:num w:numId="7" w16cid:durableId="780681541">
    <w:abstractNumId w:val="37"/>
  </w:num>
  <w:num w:numId="8" w16cid:durableId="1253389181">
    <w:abstractNumId w:val="38"/>
  </w:num>
  <w:num w:numId="9" w16cid:durableId="602150239">
    <w:abstractNumId w:val="7"/>
  </w:num>
  <w:num w:numId="10" w16cid:durableId="424956526">
    <w:abstractNumId w:val="32"/>
  </w:num>
  <w:num w:numId="11" w16cid:durableId="289550985">
    <w:abstractNumId w:val="12"/>
  </w:num>
  <w:num w:numId="12" w16cid:durableId="1702392124">
    <w:abstractNumId w:val="8"/>
  </w:num>
  <w:num w:numId="13" w16cid:durableId="159780591">
    <w:abstractNumId w:val="17"/>
  </w:num>
  <w:num w:numId="14" w16cid:durableId="1889340972">
    <w:abstractNumId w:val="24"/>
  </w:num>
  <w:num w:numId="15" w16cid:durableId="1853375291">
    <w:abstractNumId w:val="26"/>
  </w:num>
  <w:num w:numId="16" w16cid:durableId="1656453934">
    <w:abstractNumId w:val="14"/>
  </w:num>
  <w:num w:numId="17" w16cid:durableId="100614054">
    <w:abstractNumId w:val="16"/>
  </w:num>
  <w:num w:numId="18" w16cid:durableId="1143472957">
    <w:abstractNumId w:val="18"/>
  </w:num>
  <w:num w:numId="19" w16cid:durableId="319045516">
    <w:abstractNumId w:val="35"/>
  </w:num>
  <w:num w:numId="20" w16cid:durableId="1172600934">
    <w:abstractNumId w:val="31"/>
  </w:num>
  <w:num w:numId="21" w16cid:durableId="70469173">
    <w:abstractNumId w:val="28"/>
  </w:num>
  <w:num w:numId="22" w16cid:durableId="1005478849">
    <w:abstractNumId w:val="4"/>
  </w:num>
  <w:num w:numId="23" w16cid:durableId="346640976">
    <w:abstractNumId w:val="13"/>
  </w:num>
  <w:num w:numId="24" w16cid:durableId="1534731017">
    <w:abstractNumId w:val="21"/>
  </w:num>
  <w:num w:numId="25" w16cid:durableId="11995453">
    <w:abstractNumId w:val="27"/>
  </w:num>
  <w:num w:numId="26" w16cid:durableId="1878278392">
    <w:abstractNumId w:val="11"/>
  </w:num>
  <w:num w:numId="27" w16cid:durableId="516040030">
    <w:abstractNumId w:val="0"/>
  </w:num>
  <w:num w:numId="28" w16cid:durableId="1557011766">
    <w:abstractNumId w:val="23"/>
  </w:num>
  <w:num w:numId="29" w16cid:durableId="25524696">
    <w:abstractNumId w:val="9"/>
  </w:num>
  <w:num w:numId="30" w16cid:durableId="1354109076">
    <w:abstractNumId w:val="29"/>
  </w:num>
  <w:num w:numId="31" w16cid:durableId="687681791">
    <w:abstractNumId w:val="10"/>
  </w:num>
  <w:num w:numId="32" w16cid:durableId="270286195">
    <w:abstractNumId w:val="33"/>
  </w:num>
  <w:num w:numId="33" w16cid:durableId="1354456689">
    <w:abstractNumId w:val="36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39"/>
  </w:num>
  <w:num w:numId="37" w16cid:durableId="413279424">
    <w:abstractNumId w:val="20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5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7056"/>
    <w:rsid w:val="0011109E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73A2"/>
    <w:rsid w:val="003F38B9"/>
    <w:rsid w:val="003F6620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313DC"/>
    <w:rsid w:val="005344AF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46EC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A0548"/>
    <w:rsid w:val="008A362B"/>
    <w:rsid w:val="008B1432"/>
    <w:rsid w:val="008B1531"/>
    <w:rsid w:val="008B709B"/>
    <w:rsid w:val="008C36B8"/>
    <w:rsid w:val="008C3FEF"/>
    <w:rsid w:val="008C5BC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1C1B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1</TotalTime>
  <Pages>8</Pages>
  <Words>2414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16847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2017-02-06T09:55:00Z</cp:lastPrinted>
  <dcterms:created xsi:type="dcterms:W3CDTF">2025-05-15T07:50:00Z</dcterms:created>
  <dcterms:modified xsi:type="dcterms:W3CDTF">2025-05-15T07:50:00Z</dcterms:modified>
</cp:coreProperties>
</file>